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7DA" w14:textId="2031706C" w:rsidR="000A38B4" w:rsidRPr="00EB4F48" w:rsidRDefault="000A38B4" w:rsidP="005251FB">
      <w:pPr>
        <w:tabs>
          <w:tab w:val="left" w:pos="3478"/>
          <w:tab w:val="right" w:pos="9072"/>
        </w:tabs>
        <w:spacing w:after="0"/>
        <w:ind w:left="426" w:hanging="360"/>
        <w:jc w:val="both"/>
        <w:rPr>
          <w:rFonts w:ascii="Arial" w:hAnsi="Arial" w:cs="Arial"/>
        </w:rPr>
      </w:pPr>
      <w:r w:rsidRPr="00EB4F48">
        <w:rPr>
          <w:rFonts w:ascii="Arial" w:hAnsi="Arial" w:cs="Arial"/>
        </w:rPr>
        <w:tab/>
      </w:r>
    </w:p>
    <w:p w14:paraId="2891D92D" w14:textId="77777777" w:rsidR="000A38B4" w:rsidRPr="00EB4F48" w:rsidRDefault="000A38B4" w:rsidP="005251FB">
      <w:pPr>
        <w:shd w:val="clear" w:color="auto" w:fill="E7E6E6" w:themeFill="background2"/>
        <w:jc w:val="center"/>
        <w:rPr>
          <w:rFonts w:ascii="Arial" w:hAnsi="Arial" w:cs="Arial"/>
          <w:b/>
        </w:rPr>
      </w:pPr>
      <w:r w:rsidRPr="00EB4F48">
        <w:rPr>
          <w:rFonts w:ascii="Arial" w:hAnsi="Arial" w:cs="Arial"/>
          <w:b/>
        </w:rPr>
        <w:t>Opis przedmiotu zamówienia</w:t>
      </w:r>
    </w:p>
    <w:p w14:paraId="26C2A2A7" w14:textId="7DB9B1E3" w:rsidR="005251FB" w:rsidRPr="00EB4F48" w:rsidRDefault="005251FB" w:rsidP="00EB4F48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8122339"/>
      <w:r w:rsidRPr="00EB4F48">
        <w:rPr>
          <w:rFonts w:ascii="Arial" w:hAnsi="Arial" w:cs="Arial"/>
          <w:sz w:val="22"/>
          <w:szCs w:val="22"/>
        </w:rPr>
        <w:t>Przedmiotem zamówienia jest opracowanie koncepcji wraz z przygotowaniem</w:t>
      </w:r>
      <w:r w:rsidR="00EB4F48" w:rsidRPr="00EB4F48">
        <w:rPr>
          <w:rFonts w:ascii="Arial" w:hAnsi="Arial" w:cs="Arial"/>
          <w:sz w:val="22"/>
          <w:szCs w:val="22"/>
        </w:rPr>
        <w:t xml:space="preserve"> </w:t>
      </w:r>
      <w:r w:rsidRPr="00EB4F48">
        <w:rPr>
          <w:rFonts w:ascii="Arial" w:hAnsi="Arial" w:cs="Arial"/>
          <w:sz w:val="22"/>
          <w:szCs w:val="22"/>
        </w:rPr>
        <w:t>wniosku o określenie warunków przyłączeniowych do sieci elektroenergetycznej dla źródła energii elektrycznej</w:t>
      </w:r>
      <w:r w:rsidR="00EB4F48" w:rsidRPr="00EB4F48">
        <w:rPr>
          <w:rFonts w:ascii="Arial" w:hAnsi="Arial" w:cs="Arial"/>
          <w:sz w:val="22"/>
          <w:szCs w:val="22"/>
        </w:rPr>
        <w:t xml:space="preserve"> oraz </w:t>
      </w:r>
      <w:r w:rsidRPr="00EB4F48">
        <w:rPr>
          <w:rFonts w:ascii="Arial" w:hAnsi="Arial" w:cs="Arial"/>
          <w:sz w:val="22"/>
          <w:szCs w:val="22"/>
        </w:rPr>
        <w:t>Programu Funkcjonalno-Użytkowego, dalej PFU</w:t>
      </w:r>
      <w:r w:rsidR="00EB4F48" w:rsidRPr="00EB4F48">
        <w:rPr>
          <w:rFonts w:ascii="Arial" w:hAnsi="Arial" w:cs="Arial"/>
          <w:sz w:val="22"/>
          <w:szCs w:val="22"/>
        </w:rPr>
        <w:t xml:space="preserve"> </w:t>
      </w:r>
      <w:r w:rsidRPr="00EB4F48">
        <w:rPr>
          <w:rFonts w:ascii="Arial" w:hAnsi="Arial" w:cs="Arial"/>
          <w:sz w:val="22"/>
          <w:szCs w:val="22"/>
        </w:rPr>
        <w:t xml:space="preserve">dla przedsięwzięcia pn.: „Budowa instalacji fotowoltaicznej na dachu budynku waloryzacji żużla o mocy ok. 300 </w:t>
      </w:r>
      <w:proofErr w:type="spellStart"/>
      <w:r w:rsidRPr="00EB4F48">
        <w:rPr>
          <w:rFonts w:ascii="Arial" w:hAnsi="Arial" w:cs="Arial"/>
          <w:sz w:val="22"/>
          <w:szCs w:val="22"/>
        </w:rPr>
        <w:t>kWp</w:t>
      </w:r>
      <w:proofErr w:type="spellEnd"/>
      <w:r w:rsidRPr="00EB4F48">
        <w:rPr>
          <w:rFonts w:ascii="Arial" w:hAnsi="Arial" w:cs="Arial"/>
          <w:sz w:val="22"/>
          <w:szCs w:val="22"/>
        </w:rPr>
        <w:t xml:space="preserve"> w ramach wzrostu udziału energii odnawialnej w pracy ZUO Sp. z o.o.”</w:t>
      </w:r>
    </w:p>
    <w:p w14:paraId="13E6AB86" w14:textId="77777777" w:rsidR="005251FB" w:rsidRPr="00EB4F48" w:rsidRDefault="005251FB" w:rsidP="005251F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 w:rsidRPr="00EB4F48">
        <w:rPr>
          <w:rFonts w:ascii="Arial" w:hAnsi="Arial" w:cs="Arial"/>
          <w:color w:val="000000"/>
        </w:rPr>
        <w:t>Wykonawca uzgodni z Zamawiającym moc instalacji fotowoltaicznej planowanej do realizacji po weryfikacji technicznej i możliwościach konstrukcyjnych.</w:t>
      </w:r>
    </w:p>
    <w:p w14:paraId="134EF8C4" w14:textId="77777777" w:rsidR="005251FB" w:rsidRPr="00EB4F48" w:rsidRDefault="005251FB" w:rsidP="005251F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EB4F48">
        <w:rPr>
          <w:rFonts w:ascii="Arial" w:hAnsi="Arial" w:cs="Arial"/>
        </w:rPr>
        <w:t xml:space="preserve">Nowa instalacja ma zostać zlokalizowana na dachu budynku waloryzacji żużla, znajdującego się na terenie Zakładu Unieszkodliwiania Odpadów Sp. z o. o. przy ul. Logistycznej 22, 70-608 Szczecin, dz. 4/7 obręb 1084. </w:t>
      </w:r>
    </w:p>
    <w:p w14:paraId="57AA3CCF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Dla wskazanej lokalizacji obowiązuje Miejscowy Plan Zagospodarowania Przestrzennego  </w:t>
      </w:r>
      <w:hyperlink r:id="rId7" w:history="1">
        <w:r w:rsidRPr="00EB4F48">
          <w:rPr>
            <w:rStyle w:val="Hipercze"/>
            <w:rFonts w:ascii="Arial" w:hAnsi="Arial" w:cs="Arial"/>
            <w:sz w:val="22"/>
            <w:szCs w:val="22"/>
          </w:rPr>
          <w:t>https://bppm.szczecin.pl/miejscowe-plany-zagospodarowania-przestrzennego/plany-obowiazujace/miedzyodrze-port/149</w:t>
        </w:r>
      </w:hyperlink>
      <w:r w:rsidRPr="00EB4F48">
        <w:rPr>
          <w:rFonts w:ascii="Arial" w:hAnsi="Arial" w:cs="Arial"/>
          <w:sz w:val="22"/>
          <w:szCs w:val="22"/>
        </w:rPr>
        <w:t xml:space="preserve">, jak również realizowana jest procedura  uchwalenia nowego Miejscowego Planu Zagospodarowania przestrzennego </w:t>
      </w:r>
      <w:hyperlink r:id="rId8" w:history="1">
        <w:r w:rsidRPr="00EB4F48">
          <w:rPr>
            <w:rStyle w:val="Hipercze"/>
            <w:rFonts w:ascii="Arial" w:hAnsi="Arial" w:cs="Arial"/>
            <w:sz w:val="22"/>
            <w:szCs w:val="22"/>
          </w:rPr>
          <w:t>https://bppm.szczecin.pl/miejscowe-plany-zagospodarowania-przestrzennego/zakonczone-wylozenia-do-publicznego-wgladu/miejscowy-plan-zagospodarowania-przestrzennego-miedzyodrze-ostrow-grabowski</w:t>
        </w:r>
      </w:hyperlink>
    </w:p>
    <w:p w14:paraId="38EBC796" w14:textId="77777777" w:rsidR="005251FB" w:rsidRPr="00EB4F48" w:rsidRDefault="005251FB" w:rsidP="005251FB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Wg wiedzy Zamawiającego Rada Miasta ma rozpatrzyć projekt miejscowego planu zagospodarowania przestrzennego „</w:t>
      </w:r>
      <w:proofErr w:type="spellStart"/>
      <w:r w:rsidRPr="00EB4F48">
        <w:rPr>
          <w:rFonts w:ascii="Arial" w:hAnsi="Arial" w:cs="Arial"/>
          <w:sz w:val="22"/>
          <w:szCs w:val="22"/>
        </w:rPr>
        <w:t>Międzyodrze</w:t>
      </w:r>
      <w:proofErr w:type="spellEnd"/>
      <w:r w:rsidRPr="00EB4F48">
        <w:rPr>
          <w:rFonts w:ascii="Arial" w:hAnsi="Arial" w:cs="Arial"/>
          <w:sz w:val="22"/>
          <w:szCs w:val="22"/>
        </w:rPr>
        <w:t xml:space="preserve"> - Ostrów Grabowski” na posiedzeniu w styczniu 2024 r.</w:t>
      </w:r>
    </w:p>
    <w:p w14:paraId="48549F08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Zamawiający wymaga by koncepcja zawierała: </w:t>
      </w:r>
    </w:p>
    <w:p w14:paraId="7165D211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opis obiektu, lokalizacji wraz z analizą zgodności z prawem miejscowym</w:t>
      </w:r>
      <w:r w:rsidRPr="00EB4F48">
        <w:rPr>
          <w:rFonts w:ascii="Arial" w:hAnsi="Arial" w:cs="Arial"/>
          <w:sz w:val="22"/>
          <w:szCs w:val="22"/>
        </w:rPr>
        <w:br/>
        <w:t>(tj. miejscowym planem zagospodarowania przestrzennego obowiązującym dla lokalizacji przedsięwzięcia),</w:t>
      </w:r>
    </w:p>
    <w:p w14:paraId="6A38C00C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potencjał obiektu/lokalizacji w odniesieniu do wstępnych opinii i informacji uzyskanych od Inwestora,</w:t>
      </w:r>
    </w:p>
    <w:p w14:paraId="1E2C7F87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przegląd możliwych do wdrożenia na obiekcie systemów montażowych - ogólna analiza porównawcza,</w:t>
      </w:r>
    </w:p>
    <w:p w14:paraId="2C25187D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rekomendację rozwiązania systemu montażowego z uwzględnieniem profilu zapotrzebowania na moc i profilu produkcji energii elektrycznej z instalacji PV,</w:t>
      </w:r>
    </w:p>
    <w:p w14:paraId="262940F6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określenie potencjału obiektu/lokalizacji na podstawie koncepcji rozmieszczenia komponentów instalacji PV (modułów PV),</w:t>
      </w:r>
    </w:p>
    <w:p w14:paraId="17ADF722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potencjał dla wyprowadzenia mocy z instalacji i rozwiązania dla wykorzystania wyprodukowanej energii elektrycznej,</w:t>
      </w:r>
    </w:p>
    <w:p w14:paraId="07EE9E0F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scenariusz dla rozwoju projektu PV z uwzględnieniem uzyskania niezbędnych uzgodnień, warunków i decyzji administracyjnych,</w:t>
      </w:r>
    </w:p>
    <w:p w14:paraId="68325C98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rekomendację dla rozwiązań technicznych i technologicznych </w:t>
      </w:r>
      <w:r w:rsidRPr="00EB4F48">
        <w:rPr>
          <w:rFonts w:ascii="Arial" w:hAnsi="Arial" w:cs="Arial"/>
          <w:sz w:val="22"/>
          <w:szCs w:val="22"/>
        </w:rPr>
        <w:br/>
        <w:t>z uwzględnieniem trendów rynkowych,</w:t>
      </w:r>
    </w:p>
    <w:p w14:paraId="6F17276E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określenie struktury nakładów inwestycyjnych wraz z szacunkowym określeniem budżetu inwestycji.</w:t>
      </w:r>
    </w:p>
    <w:p w14:paraId="66509C99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Koncepcja i PFU winny być podstawą dla możliwości uzgodnienia projektu instalacji PV z rzeczoznawcą ppoż.</w:t>
      </w:r>
    </w:p>
    <w:p w14:paraId="3D947A51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lastRenderedPageBreak/>
        <w:t>Załącznikiem do koncepcji będzie opracowany zgodnie z rozwiązaniami w niej zawartymi prawidłowo sporządzony wniosek o określenie warunków przyłączenia do sieci elektroenergetycznej dla nowego źródła energii elektrycznej.</w:t>
      </w:r>
    </w:p>
    <w:p w14:paraId="04253C03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Załącznikiem stanowiącym integralną część opracowania ma być również </w:t>
      </w:r>
      <w:r w:rsidRPr="00EB4F48">
        <w:rPr>
          <w:rFonts w:ascii="Arial" w:hAnsi="Arial" w:cs="Arial"/>
          <w:sz w:val="22"/>
          <w:szCs w:val="22"/>
        </w:rPr>
        <w:br/>
        <w:t xml:space="preserve">Program Funkcjonalno-Użytkowy dla przedsięwzięcia pn.: „Budowa instalacji fotowoltaicznej na dachu budynku waloryzacji żużla o mocy ok. 300 </w:t>
      </w:r>
      <w:proofErr w:type="spellStart"/>
      <w:r w:rsidRPr="00EB4F48">
        <w:rPr>
          <w:rFonts w:ascii="Arial" w:hAnsi="Arial" w:cs="Arial"/>
          <w:sz w:val="22"/>
          <w:szCs w:val="22"/>
        </w:rPr>
        <w:t>kWp</w:t>
      </w:r>
      <w:proofErr w:type="spellEnd"/>
      <w:r w:rsidRPr="00EB4F48">
        <w:rPr>
          <w:rFonts w:ascii="Arial" w:hAnsi="Arial" w:cs="Arial"/>
          <w:sz w:val="22"/>
          <w:szCs w:val="22"/>
        </w:rPr>
        <w:t xml:space="preserve"> w ramach wzrostu udziału energii odnawialnej w pracy ZUO Sp. z o.o.”</w:t>
      </w:r>
    </w:p>
    <w:p w14:paraId="237BF69D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PFU, które zostanie przygotowane w ramach realizacji zamówienia będzie opracowane w oparciu o uzyskane warunki przyłączenia.</w:t>
      </w:r>
    </w:p>
    <w:p w14:paraId="65B0AF5D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Zamawiający wymaga by PFU zawierało:</w:t>
      </w:r>
    </w:p>
    <w:p w14:paraId="464463D1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określenie przedmiotu zamówienia, w tym charakterystyczne parametry określające wielkość obiektu lub zakres projektowania i robót,</w:t>
      </w:r>
    </w:p>
    <w:p w14:paraId="48B62B62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wymagania zamawiającego w stosunku do przedmiotu zamówienia,</w:t>
      </w:r>
      <w:r w:rsidRPr="00EB4F48">
        <w:rPr>
          <w:rFonts w:ascii="Arial" w:hAnsi="Arial" w:cs="Arial"/>
          <w:sz w:val="22"/>
          <w:szCs w:val="22"/>
        </w:rPr>
        <w:br/>
        <w:t>w tym w szczególności:</w:t>
      </w:r>
    </w:p>
    <w:p w14:paraId="0FAB1C01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w zakresie ułożenia kabli łączących moduły fotowoltaiczne</w:t>
      </w:r>
      <w:r w:rsidRPr="00EB4F48">
        <w:rPr>
          <w:rFonts w:ascii="Arial" w:hAnsi="Arial" w:cs="Arial"/>
          <w:sz w:val="22"/>
          <w:szCs w:val="22"/>
        </w:rPr>
        <w:br/>
        <w:t xml:space="preserve">z falownikami, </w:t>
      </w:r>
    </w:p>
    <w:p w14:paraId="325E1E31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dotyczące układów pomiarowo-rozliczeniowych energii elektrycznej, </w:t>
      </w:r>
    </w:p>
    <w:p w14:paraId="5FB910BF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dotyczące dostawy i montażu układów pomiaru jakości energii elektrycznej, </w:t>
      </w:r>
    </w:p>
    <w:p w14:paraId="59C44C26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dotyczące dostawy i montażu układów automatyki zabezpieczającej, </w:t>
      </w:r>
    </w:p>
    <w:p w14:paraId="5AAA22B2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w zakresie wykonania lub modyfikacji układów kompensacji mocy biernej elektrycznej,</w:t>
      </w:r>
    </w:p>
    <w:p w14:paraId="4C01FF26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założenia do wpięcia instalacji PV w istniejący układ </w:t>
      </w:r>
      <w:r w:rsidRPr="00EB4F48">
        <w:rPr>
          <w:rFonts w:ascii="Arial" w:hAnsi="Arial" w:cs="Arial"/>
          <w:color w:val="auto"/>
          <w:sz w:val="22"/>
          <w:szCs w:val="22"/>
        </w:rPr>
        <w:t xml:space="preserve">el-energetyczny </w:t>
      </w:r>
      <w:r w:rsidRPr="00EB4F48">
        <w:rPr>
          <w:rFonts w:ascii="Arial" w:hAnsi="Arial" w:cs="Arial"/>
          <w:sz w:val="22"/>
          <w:szCs w:val="22"/>
        </w:rPr>
        <w:t xml:space="preserve">ZUO </w:t>
      </w:r>
      <w:r w:rsidRPr="00EB4F48">
        <w:rPr>
          <w:rFonts w:ascii="Arial" w:hAnsi="Arial" w:cs="Arial"/>
          <w:sz w:val="22"/>
          <w:szCs w:val="22"/>
        </w:rPr>
        <w:br/>
        <w:t>z określeniem niezbędnych warunków technicznych i systemów automatyki przełączająco-zabezpieczającej na granicy instalacji PV i systemu el-en ZUO.</w:t>
      </w:r>
    </w:p>
    <w:p w14:paraId="03A631A5" w14:textId="77777777" w:rsidR="005251FB" w:rsidRPr="00EB4F48" w:rsidRDefault="005251FB" w:rsidP="005251FB">
      <w:pPr>
        <w:pStyle w:val="Defaul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wykaz dokumentów i informacji niezbędnych do przeprowadzenia inwestycji, </w:t>
      </w:r>
      <w:r w:rsidRPr="00EB4F48">
        <w:rPr>
          <w:rFonts w:ascii="Arial" w:hAnsi="Arial" w:cs="Arial"/>
          <w:sz w:val="22"/>
          <w:szCs w:val="22"/>
        </w:rPr>
        <w:br/>
        <w:t>w tym w szczególności:</w:t>
      </w:r>
    </w:p>
    <w:p w14:paraId="19CB3C71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dokumenty potwierdzające zgodność zamierzenia budowlanego </w:t>
      </w:r>
      <w:r w:rsidRPr="00EB4F48">
        <w:rPr>
          <w:rFonts w:ascii="Arial" w:hAnsi="Arial" w:cs="Arial"/>
          <w:sz w:val="22"/>
          <w:szCs w:val="22"/>
        </w:rPr>
        <w:br/>
        <w:t>z wymaganiami wynikającymi z odrębnych przepisów,</w:t>
      </w:r>
    </w:p>
    <w:p w14:paraId="24DA890E" w14:textId="77777777" w:rsidR="005251FB" w:rsidRPr="00EB4F48" w:rsidRDefault="005251FB" w:rsidP="005251FB">
      <w:pPr>
        <w:pStyle w:val="Default"/>
        <w:numPr>
          <w:ilvl w:val="2"/>
          <w:numId w:val="23"/>
        </w:numPr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>przepisy prawne i normy związane z projektowaniem i wykonaniem zamierzenia budowlanego,</w:t>
      </w:r>
    </w:p>
    <w:p w14:paraId="6EC894EE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EB4F48">
        <w:rPr>
          <w:rFonts w:ascii="Arial" w:hAnsi="Arial" w:cs="Arial"/>
          <w:color w:val="auto"/>
          <w:sz w:val="22"/>
          <w:szCs w:val="22"/>
        </w:rPr>
        <w:t>Parametry budynku waloryzacji żużla:</w:t>
      </w:r>
    </w:p>
    <w:p w14:paraId="20066D2B" w14:textId="77777777" w:rsidR="005251FB" w:rsidRPr="00EB4F48" w:rsidRDefault="005251FB" w:rsidP="005251FB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F48">
        <w:rPr>
          <w:rFonts w:ascii="Arial" w:hAnsi="Arial" w:cs="Arial"/>
          <w:color w:val="auto"/>
          <w:sz w:val="22"/>
          <w:szCs w:val="22"/>
        </w:rPr>
        <w:t>powierzchnia dachu wynosi: 5 355,0 m</w:t>
      </w:r>
      <w:r w:rsidRPr="00EB4F48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EB4F48">
        <w:rPr>
          <w:rFonts w:ascii="Arial" w:hAnsi="Arial" w:cs="Arial"/>
          <w:color w:val="auto"/>
          <w:sz w:val="22"/>
          <w:szCs w:val="22"/>
        </w:rPr>
        <w:t>,</w:t>
      </w:r>
    </w:p>
    <w:p w14:paraId="3196C418" w14:textId="77777777" w:rsidR="005251FB" w:rsidRPr="00EB4F48" w:rsidRDefault="005251FB" w:rsidP="005251FB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4F48">
        <w:rPr>
          <w:rFonts w:ascii="Arial" w:hAnsi="Arial" w:cs="Arial"/>
          <w:color w:val="auto"/>
          <w:sz w:val="22"/>
          <w:szCs w:val="22"/>
        </w:rPr>
        <w:t>wysokość budynku wynosi: 11,33 m - wys. w okapie; 14,80 m - wys. w kalenicy dachu.</w:t>
      </w:r>
    </w:p>
    <w:p w14:paraId="7FED8C67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EB4F48">
        <w:rPr>
          <w:rFonts w:ascii="Arial" w:hAnsi="Arial" w:cs="Arial"/>
          <w:color w:val="auto"/>
          <w:sz w:val="22"/>
          <w:szCs w:val="22"/>
        </w:rPr>
        <w:t xml:space="preserve">Wykonawca na etapie opracowywania koncepcji i PFU zobowiązany jest wraz </w:t>
      </w:r>
      <w:r w:rsidRPr="00EB4F48">
        <w:rPr>
          <w:rFonts w:ascii="Arial" w:hAnsi="Arial" w:cs="Arial"/>
          <w:color w:val="auto"/>
          <w:sz w:val="22"/>
          <w:szCs w:val="22"/>
        </w:rPr>
        <w:br/>
        <w:t xml:space="preserve">z projektantem (biurem projektowym) budynku waloryzacji żużla do weryfikacji projektu oraz dokonania uzgodnień w zakresie dopuszczalnego obciążenia konstrukcji dachu. </w:t>
      </w:r>
    </w:p>
    <w:p w14:paraId="57305AC1" w14:textId="77777777" w:rsidR="005251FB" w:rsidRPr="00EB4F48" w:rsidRDefault="005251FB" w:rsidP="005251FB">
      <w:pPr>
        <w:pStyle w:val="Default"/>
        <w:numPr>
          <w:ilvl w:val="0"/>
          <w:numId w:val="23"/>
        </w:numPr>
        <w:spacing w:line="276" w:lineRule="auto"/>
        <w:ind w:hanging="436"/>
        <w:jc w:val="both"/>
        <w:rPr>
          <w:rFonts w:ascii="Arial" w:hAnsi="Arial" w:cs="Arial"/>
          <w:color w:val="auto"/>
          <w:sz w:val="22"/>
          <w:szCs w:val="22"/>
        </w:rPr>
      </w:pPr>
      <w:r w:rsidRPr="00EB4F48">
        <w:rPr>
          <w:rFonts w:ascii="Arial" w:hAnsi="Arial" w:cs="Arial"/>
          <w:sz w:val="22"/>
          <w:szCs w:val="22"/>
        </w:rPr>
        <w:t xml:space="preserve">Po stronie Wykonawcy leży uczestnictwo w procedurze </w:t>
      </w:r>
      <w:r w:rsidRPr="00EB4F48">
        <w:rPr>
          <w:rFonts w:ascii="Arial" w:hAnsi="Arial" w:cs="Arial"/>
          <w:color w:val="auto"/>
          <w:sz w:val="22"/>
          <w:szCs w:val="22"/>
        </w:rPr>
        <w:t xml:space="preserve">określenia i wydania </w:t>
      </w:r>
      <w:r w:rsidRPr="00EB4F48">
        <w:rPr>
          <w:rFonts w:ascii="Arial" w:hAnsi="Arial" w:cs="Arial"/>
          <w:sz w:val="22"/>
          <w:szCs w:val="22"/>
        </w:rPr>
        <w:t xml:space="preserve">warunków przyłączenia do sieci elektroenergetycznej dla nowego źródła energii elektrycznej, jako reprezentujący zamawiającego. </w:t>
      </w:r>
      <w:bookmarkEnd w:id="0"/>
    </w:p>
    <w:p w14:paraId="75168A62" w14:textId="77777777" w:rsidR="005251FB" w:rsidRPr="00EB4F48" w:rsidRDefault="005251FB" w:rsidP="005251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B0E16E" w14:textId="78D288FC" w:rsidR="000A38B4" w:rsidRPr="00EB4F48" w:rsidRDefault="000A38B4" w:rsidP="005251FB">
      <w:pPr>
        <w:tabs>
          <w:tab w:val="left" w:pos="915"/>
        </w:tabs>
        <w:jc w:val="both"/>
        <w:rPr>
          <w:rFonts w:ascii="Arial" w:hAnsi="Arial" w:cs="Arial"/>
        </w:rPr>
      </w:pPr>
    </w:p>
    <w:sectPr w:rsidR="000A38B4" w:rsidRPr="00EB4F48" w:rsidSect="00CC18ED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EEF" w14:textId="77777777" w:rsidR="000A38B4" w:rsidRDefault="000A38B4" w:rsidP="000A38B4">
      <w:pPr>
        <w:spacing w:after="0" w:line="240" w:lineRule="auto"/>
      </w:pPr>
      <w:r>
        <w:separator/>
      </w:r>
    </w:p>
  </w:endnote>
  <w:endnote w:type="continuationSeparator" w:id="0">
    <w:p w14:paraId="79C380A7" w14:textId="77777777" w:rsidR="000A38B4" w:rsidRDefault="000A38B4" w:rsidP="000A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78F6" w14:textId="77777777" w:rsidR="000A38B4" w:rsidRDefault="000A38B4" w:rsidP="000A38B4">
      <w:pPr>
        <w:spacing w:after="0" w:line="240" w:lineRule="auto"/>
      </w:pPr>
      <w:r>
        <w:separator/>
      </w:r>
    </w:p>
  </w:footnote>
  <w:footnote w:type="continuationSeparator" w:id="0">
    <w:p w14:paraId="1330BBFD" w14:textId="77777777" w:rsidR="000A38B4" w:rsidRDefault="000A38B4" w:rsidP="000A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764" w14:textId="14961166" w:rsidR="00E023AE" w:rsidRPr="00E023AE" w:rsidRDefault="000A38B4" w:rsidP="00E023AE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 w:rsidRPr="00E023AE">
      <w:rPr>
        <w:rFonts w:ascii="Arial" w:hAnsi="Arial" w:cs="Arial"/>
        <w:sz w:val="22"/>
        <w:szCs w:val="22"/>
        <w:lang w:val="pl-PL"/>
      </w:rPr>
      <w:t>ZUO.PDG.ZP.102.</w:t>
    </w:r>
    <w:r w:rsidR="00A86FD1">
      <w:rPr>
        <w:rFonts w:ascii="Arial" w:hAnsi="Arial" w:cs="Arial"/>
        <w:sz w:val="22"/>
        <w:szCs w:val="22"/>
        <w:lang w:val="pl-PL"/>
      </w:rPr>
      <w:t>100</w:t>
    </w:r>
    <w:r w:rsidRPr="00E023AE">
      <w:rPr>
        <w:rFonts w:ascii="Arial" w:hAnsi="Arial" w:cs="Arial"/>
        <w:sz w:val="22"/>
        <w:szCs w:val="22"/>
        <w:lang w:val="pl-PL"/>
      </w:rPr>
      <w:t>.2023.</w:t>
    </w:r>
    <w:r w:rsidR="00E023AE" w:rsidRPr="00E023AE">
      <w:rPr>
        <w:rFonts w:ascii="Arial" w:hAnsi="Arial" w:cs="Arial"/>
        <w:sz w:val="22"/>
        <w:szCs w:val="22"/>
        <w:lang w:val="pl-PL"/>
      </w:rPr>
      <w:t>PA</w:t>
    </w:r>
  </w:p>
  <w:p w14:paraId="530EEDBC" w14:textId="46D38C46" w:rsidR="000A38B4" w:rsidRPr="00E023AE" w:rsidRDefault="000A38B4" w:rsidP="00E023AE">
    <w:pPr>
      <w:pStyle w:val="Standard"/>
      <w:spacing w:after="0" w:line="240" w:lineRule="auto"/>
      <w:jc w:val="right"/>
      <w:rPr>
        <w:rFonts w:ascii="Arial" w:hAnsi="Arial" w:cs="Arial"/>
        <w:sz w:val="22"/>
        <w:szCs w:val="22"/>
        <w:lang w:val="pl-PL"/>
      </w:rPr>
    </w:pPr>
    <w:r w:rsidRPr="00E023AE">
      <w:rPr>
        <w:rFonts w:ascii="Arial" w:hAnsi="Arial" w:cs="Arial"/>
        <w:sz w:val="22"/>
        <w:szCs w:val="22"/>
        <w:lang w:val="pl-PL"/>
      </w:rPr>
      <w:t xml:space="preserve">Załącznik nr 1 do Zapytania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C83"/>
    <w:multiLevelType w:val="hybridMultilevel"/>
    <w:tmpl w:val="A48E63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CAB2013"/>
    <w:multiLevelType w:val="hybridMultilevel"/>
    <w:tmpl w:val="9120ED9A"/>
    <w:lvl w:ilvl="0" w:tplc="D6BEC566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860236"/>
    <w:multiLevelType w:val="hybridMultilevel"/>
    <w:tmpl w:val="E646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272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09F0"/>
    <w:multiLevelType w:val="hybridMultilevel"/>
    <w:tmpl w:val="FDCACED0"/>
    <w:lvl w:ilvl="0" w:tplc="CDCE182A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6A06B4"/>
    <w:multiLevelType w:val="hybridMultilevel"/>
    <w:tmpl w:val="D56E60CE"/>
    <w:lvl w:ilvl="0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273C5D92"/>
    <w:multiLevelType w:val="hybridMultilevel"/>
    <w:tmpl w:val="F5349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B3636"/>
    <w:multiLevelType w:val="hybridMultilevel"/>
    <w:tmpl w:val="1DCEDF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E3B36"/>
    <w:multiLevelType w:val="hybridMultilevel"/>
    <w:tmpl w:val="0606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7E9"/>
    <w:multiLevelType w:val="hybridMultilevel"/>
    <w:tmpl w:val="9CC25C3A"/>
    <w:styleLink w:val="Zaimportowanystyl10"/>
    <w:lvl w:ilvl="0" w:tplc="7EBA304C">
      <w:start w:val="1"/>
      <w:numFmt w:val="decimal"/>
      <w:lvlText w:val="%1)"/>
      <w:lvlJc w:val="left"/>
      <w:pPr>
        <w:ind w:left="11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89338">
      <w:start w:val="1"/>
      <w:numFmt w:val="lowerLetter"/>
      <w:lvlText w:val="%2."/>
      <w:lvlJc w:val="left"/>
      <w:pPr>
        <w:ind w:left="18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207E2">
      <w:start w:val="1"/>
      <w:numFmt w:val="lowerRoman"/>
      <w:lvlText w:val="%3."/>
      <w:lvlJc w:val="left"/>
      <w:pPr>
        <w:ind w:left="25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A65D4">
      <w:start w:val="1"/>
      <w:numFmt w:val="decimal"/>
      <w:lvlText w:val="%4."/>
      <w:lvlJc w:val="left"/>
      <w:pPr>
        <w:ind w:left="33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8F140">
      <w:start w:val="1"/>
      <w:numFmt w:val="lowerLetter"/>
      <w:lvlText w:val="%5."/>
      <w:lvlJc w:val="left"/>
      <w:pPr>
        <w:ind w:left="40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4E2B4">
      <w:start w:val="1"/>
      <w:numFmt w:val="lowerRoman"/>
      <w:lvlText w:val="%6."/>
      <w:lvlJc w:val="left"/>
      <w:pPr>
        <w:ind w:left="47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46032A">
      <w:start w:val="1"/>
      <w:numFmt w:val="decimal"/>
      <w:lvlText w:val="%7."/>
      <w:lvlJc w:val="left"/>
      <w:pPr>
        <w:ind w:left="54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83668">
      <w:start w:val="1"/>
      <w:numFmt w:val="lowerLetter"/>
      <w:lvlText w:val="%8."/>
      <w:lvlJc w:val="left"/>
      <w:pPr>
        <w:ind w:left="61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F08">
      <w:start w:val="1"/>
      <w:numFmt w:val="lowerRoman"/>
      <w:lvlText w:val="%9."/>
      <w:lvlJc w:val="left"/>
      <w:pPr>
        <w:ind w:left="69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807AB"/>
    <w:multiLevelType w:val="hybridMultilevel"/>
    <w:tmpl w:val="C60EB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A42ACC"/>
    <w:multiLevelType w:val="hybridMultilevel"/>
    <w:tmpl w:val="AE7EC55E"/>
    <w:lvl w:ilvl="0" w:tplc="56963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5D04"/>
    <w:multiLevelType w:val="hybridMultilevel"/>
    <w:tmpl w:val="9CC25C3A"/>
    <w:numStyleLink w:val="Zaimportowanystyl10"/>
  </w:abstractNum>
  <w:abstractNum w:abstractNumId="13" w15:restartNumberingAfterBreak="0">
    <w:nsid w:val="57257C23"/>
    <w:multiLevelType w:val="hybridMultilevel"/>
    <w:tmpl w:val="30268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0FD5"/>
    <w:multiLevelType w:val="hybridMultilevel"/>
    <w:tmpl w:val="BCB8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B2176"/>
    <w:multiLevelType w:val="hybridMultilevel"/>
    <w:tmpl w:val="CB66C212"/>
    <w:lvl w:ilvl="0" w:tplc="774640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D66"/>
    <w:multiLevelType w:val="hybridMultilevel"/>
    <w:tmpl w:val="D4B85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5885605"/>
    <w:multiLevelType w:val="hybridMultilevel"/>
    <w:tmpl w:val="21647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837226"/>
    <w:multiLevelType w:val="hybridMultilevel"/>
    <w:tmpl w:val="F190BB88"/>
    <w:styleLink w:val="Zaimportowanystyl6"/>
    <w:lvl w:ilvl="0" w:tplc="E578F0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A88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4772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8A2E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C4A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4299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081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8130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E693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7520F8"/>
    <w:multiLevelType w:val="hybridMultilevel"/>
    <w:tmpl w:val="EE9ED5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5E3261"/>
    <w:multiLevelType w:val="hybridMultilevel"/>
    <w:tmpl w:val="D63097AE"/>
    <w:lvl w:ilvl="0" w:tplc="979017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2154F"/>
    <w:multiLevelType w:val="hybridMultilevel"/>
    <w:tmpl w:val="F190BB88"/>
    <w:numStyleLink w:val="Zaimportowanystyl6"/>
  </w:abstractNum>
  <w:num w:numId="1" w16cid:durableId="67777561">
    <w:abstractNumId w:val="2"/>
  </w:num>
  <w:num w:numId="2" w16cid:durableId="1309239692">
    <w:abstractNumId w:val="0"/>
  </w:num>
  <w:num w:numId="3" w16cid:durableId="3091323">
    <w:abstractNumId w:val="1"/>
  </w:num>
  <w:num w:numId="4" w16cid:durableId="970398586">
    <w:abstractNumId w:val="16"/>
  </w:num>
  <w:num w:numId="5" w16cid:durableId="67318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426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987247">
    <w:abstractNumId w:val="6"/>
  </w:num>
  <w:num w:numId="8" w16cid:durableId="988292403">
    <w:abstractNumId w:val="3"/>
  </w:num>
  <w:num w:numId="9" w16cid:durableId="1022433624">
    <w:abstractNumId w:val="14"/>
  </w:num>
  <w:num w:numId="10" w16cid:durableId="2112504919">
    <w:abstractNumId w:val="19"/>
  </w:num>
  <w:num w:numId="11" w16cid:durableId="27528803">
    <w:abstractNumId w:val="10"/>
  </w:num>
  <w:num w:numId="12" w16cid:durableId="501166552">
    <w:abstractNumId w:val="5"/>
  </w:num>
  <w:num w:numId="13" w16cid:durableId="650987711">
    <w:abstractNumId w:val="18"/>
  </w:num>
  <w:num w:numId="14" w16cid:durableId="416026195">
    <w:abstractNumId w:val="21"/>
  </w:num>
  <w:num w:numId="15" w16cid:durableId="592859439">
    <w:abstractNumId w:val="9"/>
  </w:num>
  <w:num w:numId="16" w16cid:durableId="1326083271">
    <w:abstractNumId w:val="12"/>
  </w:num>
  <w:num w:numId="17" w16cid:durableId="133105204">
    <w:abstractNumId w:val="20"/>
  </w:num>
  <w:num w:numId="18" w16cid:durableId="200019347">
    <w:abstractNumId w:val="17"/>
  </w:num>
  <w:num w:numId="19" w16cid:durableId="1964533127">
    <w:abstractNumId w:val="8"/>
  </w:num>
  <w:num w:numId="20" w16cid:durableId="1817721744">
    <w:abstractNumId w:val="7"/>
  </w:num>
  <w:num w:numId="21" w16cid:durableId="1826891568">
    <w:abstractNumId w:val="11"/>
  </w:num>
  <w:num w:numId="22" w16cid:durableId="428821294">
    <w:abstractNumId w:val="13"/>
  </w:num>
  <w:num w:numId="23" w16cid:durableId="5786348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1200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56"/>
    <w:rsid w:val="000260BF"/>
    <w:rsid w:val="000806DC"/>
    <w:rsid w:val="000A38B4"/>
    <w:rsid w:val="000F4A16"/>
    <w:rsid w:val="00157A4F"/>
    <w:rsid w:val="001A1D68"/>
    <w:rsid w:val="001D33A4"/>
    <w:rsid w:val="002421B0"/>
    <w:rsid w:val="00243FB0"/>
    <w:rsid w:val="002D3960"/>
    <w:rsid w:val="003D03D5"/>
    <w:rsid w:val="003D2A7D"/>
    <w:rsid w:val="00523BA5"/>
    <w:rsid w:val="005251FB"/>
    <w:rsid w:val="0053417E"/>
    <w:rsid w:val="0058199E"/>
    <w:rsid w:val="005A5D1D"/>
    <w:rsid w:val="006D054F"/>
    <w:rsid w:val="00770B7E"/>
    <w:rsid w:val="007B50AA"/>
    <w:rsid w:val="0080364A"/>
    <w:rsid w:val="009060D7"/>
    <w:rsid w:val="00951670"/>
    <w:rsid w:val="00A0505E"/>
    <w:rsid w:val="00A86FD1"/>
    <w:rsid w:val="00AA1093"/>
    <w:rsid w:val="00BB7932"/>
    <w:rsid w:val="00BF0FA4"/>
    <w:rsid w:val="00D27F4C"/>
    <w:rsid w:val="00D42156"/>
    <w:rsid w:val="00DB5CBD"/>
    <w:rsid w:val="00E023AE"/>
    <w:rsid w:val="00E70ADE"/>
    <w:rsid w:val="00EB4F48"/>
    <w:rsid w:val="00F2186E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AE0"/>
  <w15:chartTrackingRefBased/>
  <w15:docId w15:val="{81CAE93A-A2CF-40BF-906F-523C46A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5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,List Paragraph,Nummerierter Absatz,Listenabsatz,Obiekt,List Paragraph1,punk 1,2 heading,A_wyliczenie,K-P_odwolanie,Akapit z listą5,maz_wyliczenie,opis dzialania,Normalny1,Akapit z listą3,Akapit z listą31,Tekst_DO"/>
    <w:basedOn w:val="Normalny"/>
    <w:link w:val="AkapitzlistZnak"/>
    <w:uiPriority w:val="34"/>
    <w:qFormat/>
    <w:rsid w:val="00D42156"/>
    <w:pPr>
      <w:ind w:left="720"/>
      <w:contextualSpacing/>
    </w:pPr>
  </w:style>
  <w:style w:type="character" w:customStyle="1" w:styleId="AkapitzlistZnak">
    <w:name w:val="Akapit z listą Znak"/>
    <w:aliases w:val="L1 Znak,Numerowanie Znak,2 Znak,CW_Lista Znak,List Paragraph Znak,Nummerierter Absatz Znak,Listenabsatz Znak,Obiekt Znak,List Paragraph1 Znak,punk 1 Znak,2 heading Znak,A_wyliczenie Znak,K-P_odwolanie Znak,Akapit z listą5 Znak"/>
    <w:link w:val="Akapitzlist"/>
    <w:uiPriority w:val="34"/>
    <w:qFormat/>
    <w:locked/>
    <w:rsid w:val="00D42156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8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B4"/>
    <w:rPr>
      <w:kern w:val="0"/>
      <w14:ligatures w14:val="none"/>
    </w:rPr>
  </w:style>
  <w:style w:type="paragraph" w:customStyle="1" w:styleId="Standard">
    <w:name w:val="Standard"/>
    <w:rsid w:val="000A38B4"/>
    <w:pPr>
      <w:widowControl w:val="0"/>
      <w:suppressAutoHyphens/>
      <w:autoSpaceDN w:val="0"/>
      <w:spacing w:after="200" w:line="276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  <w14:ligatures w14:val="none"/>
    </w:rPr>
  </w:style>
  <w:style w:type="numbering" w:customStyle="1" w:styleId="Zaimportowanystyl6">
    <w:name w:val="Zaimportowany styl 6"/>
    <w:rsid w:val="003D2A7D"/>
    <w:pPr>
      <w:numPr>
        <w:numId w:val="13"/>
      </w:numPr>
    </w:pPr>
  </w:style>
  <w:style w:type="character" w:styleId="Numerstrony">
    <w:name w:val="page number"/>
    <w:rsid w:val="00951670"/>
  </w:style>
  <w:style w:type="numbering" w:customStyle="1" w:styleId="Zaimportowanystyl10">
    <w:name w:val="Zaimportowany styl 1.0"/>
    <w:rsid w:val="00951670"/>
    <w:pPr>
      <w:numPr>
        <w:numId w:val="15"/>
      </w:numPr>
    </w:pPr>
  </w:style>
  <w:style w:type="paragraph" w:customStyle="1" w:styleId="Default">
    <w:name w:val="Default"/>
    <w:rsid w:val="00581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58199E"/>
    <w:rPr>
      <w:color w:val="0563C1" w:themeColor="hyperlink"/>
      <w:u w:val="single"/>
    </w:rPr>
  </w:style>
  <w:style w:type="character" w:customStyle="1" w:styleId="BrakA">
    <w:name w:val="Brak A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pm.szczecin.pl/miejscowe-plany-zagospodarowania-przestrzennego/zakonczone-wylozenia-do-publicznego-wgladu/miejscowy-plan-zagospodarowania-przestrzennego-miedzyodrze-ostrow-grabow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pm.szczecin.pl/miejscowe-plany-zagospodarowania-przestrzennego/plany-obowiazujace/miedzyodrze-port/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Gabruś</dc:creator>
  <cp:keywords/>
  <dc:description/>
  <cp:lastModifiedBy>Katarzyna Witkowska</cp:lastModifiedBy>
  <cp:revision>25</cp:revision>
  <cp:lastPrinted>2023-09-18T07:38:00Z</cp:lastPrinted>
  <dcterms:created xsi:type="dcterms:W3CDTF">2023-06-27T07:56:00Z</dcterms:created>
  <dcterms:modified xsi:type="dcterms:W3CDTF">2023-12-18T08:02:00Z</dcterms:modified>
</cp:coreProperties>
</file>